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169" w:line="219" w:lineRule="auto"/>
        <w:ind w:left="751"/>
        <w:outlineLvl w:val="0"/>
        <w:rPr>
          <w:rFonts w:ascii="宋体" w:hAnsi="宋体" w:eastAsia="宋体" w:cs="宋体"/>
          <w:sz w:val="52"/>
          <w:szCs w:val="52"/>
        </w:rPr>
      </w:pPr>
      <w:r>
        <w:rPr>
          <w:rFonts w:ascii="宋体" w:hAnsi="宋体" w:eastAsia="宋体" w:cs="宋体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</w:rPr>
        <w:t>浙江阿尔法化工科技有限公司</w:t>
      </w:r>
    </w:p>
    <w:p>
      <w:pPr>
        <w:spacing w:before="363" w:line="218" w:lineRule="auto"/>
        <w:ind w:left="1013"/>
        <w:outlineLvl w:val="0"/>
        <w:rPr>
          <w:rFonts w:ascii="宋体" w:hAnsi="宋体" w:eastAsia="宋体" w:cs="宋体"/>
          <w:sz w:val="52"/>
          <w:szCs w:val="52"/>
        </w:rPr>
      </w:pPr>
      <w:r>
        <w:rPr>
          <w:rFonts w:ascii="宋体" w:hAnsi="宋体" w:eastAsia="宋体" w:cs="宋体"/>
          <w:sz w:val="52"/>
          <w:szCs w:val="52"/>
          <w14:textOutline w14:w="9461" w14:cap="sq" w14:cmpd="sng">
            <w14:solidFill>
              <w14:srgbClr w14:val="000000"/>
            </w14:solidFill>
            <w14:prstDash w14:val="solid"/>
            <w14:bevel/>
          </w14:textOutline>
        </w:rPr>
        <w:t>土壤及地下水自行监测报告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117" w:line="219" w:lineRule="auto"/>
        <w:ind w:left="1927"/>
        <w:rPr>
          <w:rFonts w:ascii="宋体" w:hAnsi="宋体" w:eastAsia="宋体" w:cs="宋体"/>
          <w:sz w:val="36"/>
          <w:szCs w:val="3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-514350</wp:posOffset>
            </wp:positionV>
            <wp:extent cx="1424940" cy="140716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4748" cy="140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36"/>
          <w:szCs w:val="36"/>
          <w14:textOutline w14:w="6527" w14:cap="flat" w14:cmpd="sng">
            <w14:solidFill>
              <w14:srgbClr w14:val="000000"/>
            </w14:solidFill>
            <w14:prstDash w14:val="solid"/>
            <w14:miter w14:val="10"/>
          </w14:textOutline>
        </w:rPr>
        <w:t>浙江阿尔法化工科技有限公司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114" w:line="650" w:lineRule="exact"/>
        <w:ind w:left="1971"/>
        <w:rPr>
          <w:rFonts w:ascii="宋体" w:hAnsi="宋体" w:eastAsia="宋体" w:cs="宋体"/>
          <w:sz w:val="35"/>
          <w:szCs w:val="3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-601345</wp:posOffset>
            </wp:positionV>
            <wp:extent cx="1515110" cy="151003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4855" cy="1510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9"/>
          <w:position w:val="21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</w:rPr>
        <w:t>耐斯检测技术服务有限公司</w:t>
      </w:r>
    </w:p>
    <w:p>
      <w:pPr>
        <w:spacing w:before="1" w:line="224" w:lineRule="auto"/>
        <w:ind w:left="3104"/>
        <w:rPr>
          <w:rFonts w:ascii="宋体" w:hAnsi="宋体" w:eastAsia="宋体" w:cs="宋体"/>
          <w:sz w:val="35"/>
          <w:szCs w:val="35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35"/>
          <w:szCs w:val="35"/>
        </w:rPr>
        <w:t>2023</w:t>
      </w:r>
      <w:r>
        <w:rPr>
          <w:rFonts w:ascii="Times New Roman" w:hAnsi="Times New Roman" w:eastAsia="Times New Roman" w:cs="Times New Roman"/>
          <w:b/>
          <w:bCs/>
          <w:spacing w:val="25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-4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</w:rPr>
        <w:t>年</w:t>
      </w:r>
      <w:r>
        <w:rPr>
          <w:rFonts w:ascii="宋体" w:hAnsi="宋体" w:eastAsia="宋体" w:cs="宋体"/>
          <w:spacing w:val="-60"/>
          <w:sz w:val="35"/>
          <w:szCs w:val="35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4"/>
          <w:sz w:val="35"/>
          <w:szCs w:val="35"/>
        </w:rPr>
        <w:t>11</w:t>
      </w:r>
      <w:r>
        <w:rPr>
          <w:rFonts w:ascii="Times New Roman" w:hAnsi="Times New Roman" w:eastAsia="Times New Roman" w:cs="Times New Roman"/>
          <w:b/>
          <w:bCs/>
          <w:spacing w:val="22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-4"/>
          <w:sz w:val="35"/>
          <w:szCs w:val="35"/>
          <w14:textOutline w14:w="6540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</w:p>
    <w:p>
      <w:pPr>
        <w:spacing w:line="224" w:lineRule="auto"/>
        <w:rPr>
          <w:rFonts w:ascii="宋体" w:hAnsi="宋体" w:eastAsia="宋体" w:cs="宋体"/>
          <w:sz w:val="35"/>
          <w:szCs w:val="35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sdt>
      <w:sdtPr>
        <w:rPr>
          <w:rFonts w:ascii="宋体" w:hAnsi="宋体" w:eastAsia="宋体" w:cs="宋体"/>
          <w:sz w:val="35"/>
          <w:szCs w:val="35"/>
        </w:rPr>
        <w:id w:val="1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4"/>
          <w:szCs w:val="24"/>
        </w:rPr>
      </w:sdtEndPr>
      <w:sdtContent>
        <w:p>
          <w:pPr>
            <w:spacing w:before="74" w:line="227" w:lineRule="auto"/>
            <w:ind w:left="4036"/>
            <w:rPr>
              <w:rFonts w:ascii="宋体" w:hAnsi="宋体" w:eastAsia="宋体" w:cs="宋体"/>
              <w:sz w:val="35"/>
              <w:szCs w:val="35"/>
            </w:rPr>
          </w:pPr>
          <w:r>
            <w:rPr>
              <w:rFonts w:ascii="宋体" w:hAnsi="宋体" w:eastAsia="宋体" w:cs="宋体"/>
              <w:spacing w:val="-31"/>
              <w:sz w:val="35"/>
              <w:szCs w:val="35"/>
              <w14:textOutline w14:w="6537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目录</w:t>
          </w:r>
        </w:p>
        <w:p>
          <w:pPr>
            <w:tabs>
              <w:tab w:val="right" w:leader="dot" w:pos="8724"/>
            </w:tabs>
            <w:spacing w:before="223" w:line="184" w:lineRule="auto"/>
            <w:ind w:left="24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9"/>
              <w:sz w:val="24"/>
              <w:szCs w:val="24"/>
            </w:rPr>
            <w:t>1</w:t>
          </w:r>
          <w:r>
            <w:rPr>
              <w:rFonts w:ascii="Times New Roman" w:hAnsi="Times New Roman" w:eastAsia="Times New Roman" w:cs="Times New Roman"/>
              <w:spacing w:val="15"/>
              <w:w w:val="101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pacing w:val="-9"/>
              <w:sz w:val="24"/>
              <w:szCs w:val="24"/>
            </w:rPr>
            <w:t>工作背景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1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2" w:line="184" w:lineRule="auto"/>
            <w:ind w:left="504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6"/>
              <w:sz w:val="24"/>
              <w:szCs w:val="24"/>
            </w:rPr>
            <w:t>1.1</w:t>
          </w:r>
          <w:r>
            <w:rPr>
              <w:rFonts w:ascii="Times New Roman" w:hAnsi="Times New Roman" w:eastAsia="Times New Roman" w:cs="Times New Roman"/>
              <w:spacing w:val="12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pacing w:val="-6"/>
              <w:sz w:val="24"/>
              <w:szCs w:val="24"/>
            </w:rPr>
            <w:t>工作由来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1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199" w:line="184" w:lineRule="auto"/>
            <w:ind w:left="504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6"/>
              <w:sz w:val="24"/>
              <w:szCs w:val="24"/>
            </w:rPr>
            <w:t>1.2</w:t>
          </w:r>
          <w:r>
            <w:rPr>
              <w:rFonts w:ascii="Times New Roman" w:hAnsi="Times New Roman" w:eastAsia="Times New Roman" w:cs="Times New Roman"/>
              <w:spacing w:val="12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pacing w:val="-6"/>
              <w:sz w:val="24"/>
              <w:szCs w:val="24"/>
            </w:rPr>
            <w:t>工作依据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1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ind w:left="504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  <w:sz w:val="24"/>
              <w:szCs w:val="24"/>
            </w:rPr>
            <w:t xml:space="preserve">1.3 </w:t>
          </w:r>
          <w:r>
            <w:rPr>
              <w:rFonts w:ascii="宋体" w:hAnsi="宋体" w:eastAsia="宋体" w:cs="宋体"/>
              <w:spacing w:val="-3"/>
              <w:sz w:val="24"/>
              <w:szCs w:val="24"/>
            </w:rPr>
            <w:t>工作内容及技术路线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3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2" w:line="184" w:lineRule="auto"/>
            <w:ind w:left="1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  <w:sz w:val="24"/>
              <w:szCs w:val="24"/>
            </w:rPr>
            <w:t>2</w:t>
          </w:r>
          <w:r>
            <w:rPr>
              <w:rFonts w:ascii="Times New Roman" w:hAnsi="Times New Roman" w:eastAsia="Times New Roman" w:cs="Times New Roman"/>
              <w:spacing w:val="13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pacing w:val="-4"/>
              <w:sz w:val="24"/>
              <w:szCs w:val="24"/>
            </w:rPr>
            <w:t>企业概况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6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ind w:left="481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2.1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企业名称、地址、坐标等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6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ind w:left="481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2.2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企业用地历史、行业分类、经营范围等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7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3" w:line="184" w:lineRule="auto"/>
            <w:ind w:left="481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2.3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企业用地已有的环境调查与监测情况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2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ind w:left="5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  <w:sz w:val="24"/>
              <w:szCs w:val="24"/>
            </w:rPr>
            <w:t>3</w:t>
          </w:r>
          <w:r>
            <w:rPr>
              <w:rFonts w:ascii="Times New Roman" w:hAnsi="Times New Roman" w:eastAsia="Times New Roman" w:cs="Times New Roman"/>
              <w:spacing w:val="9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pacing w:val="-4"/>
              <w:sz w:val="24"/>
              <w:szCs w:val="24"/>
            </w:rPr>
            <w:t>地勘资料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12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ind w:left="485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 xml:space="preserve">3.1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地质信息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12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2" w:line="184" w:lineRule="auto"/>
            <w:ind w:left="485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3.2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水文地质信息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16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4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企业生产及污染防治情况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18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ind w:left="480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4.1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企业生产概况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18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2" w:line="184" w:lineRule="auto"/>
            <w:ind w:left="480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4.2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企业总平面布置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42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ind w:left="480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4.3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各重点场所、重点设施设备情况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44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ind w:left="7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5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重点监测单元识别与分类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45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3" w:line="184" w:lineRule="auto"/>
            <w:ind w:left="487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 xml:space="preserve">5.1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重点单元情况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45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ind w:left="487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5.2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识别</w:t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>/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分类结果及原因</w:t>
          </w:r>
          <w:r>
            <w:rPr>
              <w:rFonts w:ascii="宋体" w:hAnsi="宋体" w:eastAsia="宋体" w:cs="宋体"/>
              <w:spacing w:val="-72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pacing w:val="26"/>
              <w:sz w:val="24"/>
              <w:szCs w:val="24"/>
            </w:rPr>
            <w:t>48</w:t>
          </w:r>
          <w:r>
            <w:rPr>
              <w:rFonts w:ascii="Times New Roman" w:hAnsi="Times New Roman" w:eastAsia="Times New Roman" w:cs="Times New Roman"/>
              <w:spacing w:val="26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ind w:left="487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  <w:sz w:val="24"/>
              <w:szCs w:val="24"/>
            </w:rPr>
            <w:t>5.3</w:t>
          </w:r>
          <w:r>
            <w:rPr>
              <w:rFonts w:ascii="Times New Roman" w:hAnsi="Times New Roman" w:eastAsia="Times New Roman" w:cs="Times New Roman"/>
              <w:spacing w:val="19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pacing w:val="-4"/>
              <w:sz w:val="24"/>
              <w:szCs w:val="24"/>
            </w:rPr>
            <w:t>关注污染物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57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2" w:line="184" w:lineRule="auto"/>
            <w:ind w:left="6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 xml:space="preserve">6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监测点位布设方案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58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ind w:left="486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6.1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重点单元及相应监测点</w:t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>/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监测井的布设位置</w:t>
          </w:r>
          <w:r>
            <w:rPr>
              <w:rFonts w:ascii="宋体" w:hAnsi="宋体" w:eastAsia="宋体" w:cs="宋体"/>
              <w:spacing w:val="-62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pacing w:val="26"/>
              <w:sz w:val="24"/>
              <w:szCs w:val="24"/>
            </w:rPr>
            <w:t>58</w:t>
          </w:r>
          <w:r>
            <w:rPr>
              <w:rFonts w:ascii="Times New Roman" w:hAnsi="Times New Roman" w:eastAsia="Times New Roman" w:cs="Times New Roman"/>
              <w:spacing w:val="26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ind w:left="486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6.2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各点位布设原因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62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3" w:line="184" w:lineRule="auto"/>
            <w:ind w:left="486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6.3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各点位监测指标及选取原因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63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ind w:left="5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7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样品采集、保存、流转与制备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66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ind w:left="485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7.1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现场采样位置、数量和深度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66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2" w:line="184" w:lineRule="auto"/>
            <w:ind w:left="485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7.2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采样方法和程序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69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ind w:left="485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7.3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样品保存、流转与制备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74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184" w:lineRule="auto"/>
            <w:ind w:left="10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 xml:space="preserve">8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现场安全防护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77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2" w:line="184" w:lineRule="auto"/>
            <w:ind w:left="490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 xml:space="preserve">8.1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入场防护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77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24"/>
            </w:tabs>
            <w:spacing w:before="200" w:line="220" w:lineRule="auto"/>
            <w:ind w:left="490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 xml:space="preserve">8.2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钻探</w:t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>/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挖掘作业安全防护</w:t>
          </w:r>
          <w:r>
            <w:rPr>
              <w:rFonts w:ascii="宋体" w:hAnsi="宋体" w:eastAsia="宋体" w:cs="宋体"/>
              <w:spacing w:val="-60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pacing w:val="26"/>
              <w:sz w:val="24"/>
              <w:szCs w:val="24"/>
            </w:rPr>
            <w:t>77</w:t>
          </w:r>
          <w:r>
            <w:rPr>
              <w:rFonts w:ascii="Times New Roman" w:hAnsi="Times New Roman" w:eastAsia="Times New Roman" w:cs="Times New Roman"/>
              <w:spacing w:val="26"/>
              <w:sz w:val="24"/>
              <w:szCs w:val="24"/>
            </w:rPr>
            <w:fldChar w:fldCharType="end"/>
          </w:r>
        </w:p>
      </w:sdtContent>
    </w:sdt>
    <w:p>
      <w:pPr>
        <w:spacing w:line="220" w:lineRule="auto"/>
        <w:rPr>
          <w:rFonts w:ascii="Times New Roman" w:hAnsi="Times New Roman" w:eastAsia="Times New Roman" w:cs="Times New Roman"/>
          <w:sz w:val="24"/>
          <w:szCs w:val="24"/>
        </w:rPr>
        <w:sectPr>
          <w:pgSz w:w="11906" w:h="16839"/>
          <w:pgMar w:top="1431" w:right="1588" w:bottom="0" w:left="1592" w:header="0" w:footer="0" w:gutter="0"/>
          <w:cols w:space="720" w:num="1"/>
        </w:sectPr>
      </w:pPr>
    </w:p>
    <w:sdt>
      <w:sdtPr>
        <w:rPr>
          <w:rFonts w:ascii="Times New Roman" w:hAnsi="Times New Roman" w:eastAsia="Times New Roman" w:cs="Times New Roman"/>
          <w:sz w:val="24"/>
          <w:szCs w:val="24"/>
        </w:rPr>
        <w:id w:val="2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4"/>
          <w:szCs w:val="24"/>
        </w:rPr>
      </w:sdtEndPr>
      <w:sdtContent>
        <w:p>
          <w:pPr>
            <w:tabs>
              <w:tab w:val="right" w:leader="dot" w:pos="8719"/>
            </w:tabs>
            <w:spacing w:before="77" w:line="184" w:lineRule="auto"/>
            <w:ind w:left="485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 xml:space="preserve">8.3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采样过程的安全防护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77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19"/>
            </w:tabs>
            <w:spacing w:before="200" w:line="184" w:lineRule="auto"/>
            <w:ind w:left="485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 xml:space="preserve">8.4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现场技术培训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77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19"/>
            </w:tabs>
            <w:spacing w:before="200" w:line="184" w:lineRule="auto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 xml:space="preserve">9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监测结果分析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79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19"/>
            </w:tabs>
            <w:spacing w:before="202" w:line="184" w:lineRule="auto"/>
            <w:ind w:left="480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9.1 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土壤监测结果分析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79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19"/>
            </w:tabs>
            <w:spacing w:before="200" w:line="184" w:lineRule="auto"/>
            <w:ind w:left="480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9.2 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地下水监测结果分析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82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19"/>
            </w:tabs>
            <w:spacing w:before="200" w:line="184" w:lineRule="auto"/>
            <w:ind w:left="18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"bookmark36"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  <w:sz w:val="24"/>
              <w:szCs w:val="24"/>
            </w:rPr>
            <w:t xml:space="preserve">10 </w:t>
          </w:r>
          <w:r>
            <w:rPr>
              <w:rFonts w:ascii="宋体" w:hAnsi="宋体" w:eastAsia="宋体" w:cs="宋体"/>
              <w:spacing w:val="-3"/>
              <w:sz w:val="24"/>
              <w:szCs w:val="24"/>
            </w:rPr>
            <w:t>质量保证与质量控制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90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19"/>
            </w:tabs>
            <w:spacing w:before="202" w:line="184" w:lineRule="auto"/>
            <w:ind w:left="498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"bookmark37"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7"/>
              <w:sz w:val="24"/>
              <w:szCs w:val="24"/>
            </w:rPr>
            <w:t>10.1</w:t>
          </w:r>
          <w:r>
            <w:rPr>
              <w:rFonts w:ascii="Times New Roman" w:hAnsi="Times New Roman" w:eastAsia="Times New Roman" w:cs="Times New Roman"/>
              <w:spacing w:val="54"/>
              <w:w w:val="101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pacing w:val="-7"/>
              <w:sz w:val="24"/>
              <w:szCs w:val="24"/>
            </w:rPr>
            <w:t>自行监测质量体系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90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19"/>
            </w:tabs>
            <w:spacing w:before="200" w:line="184" w:lineRule="auto"/>
            <w:ind w:left="498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"bookmark38"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 xml:space="preserve">10.2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监测方案确定的质量保证与控制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91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19"/>
            </w:tabs>
            <w:spacing w:before="200" w:line="184" w:lineRule="auto"/>
            <w:ind w:left="498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"bookmark39"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1"/>
              <w:sz w:val="24"/>
              <w:szCs w:val="24"/>
            </w:rPr>
            <w:t xml:space="preserve">10.3 </w:t>
          </w:r>
          <w:r>
            <w:rPr>
              <w:rFonts w:ascii="宋体" w:hAnsi="宋体" w:eastAsia="宋体" w:cs="宋体"/>
              <w:spacing w:val="-1"/>
              <w:sz w:val="24"/>
              <w:szCs w:val="24"/>
            </w:rPr>
            <w:t>样品采集、保存、流转、制备与分析的质量保证与控制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t>91</w:t>
          </w:r>
          <w:r>
            <w:rPr>
              <w:rFonts w:ascii="Times New Roman" w:hAnsi="Times New Roman" w:eastAsia="Times New Roman" w:cs="Times New Roman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19"/>
            </w:tabs>
            <w:spacing w:before="202" w:line="184" w:lineRule="auto"/>
            <w:ind w:left="18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"bookmark40"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8"/>
              <w:sz w:val="24"/>
              <w:szCs w:val="24"/>
            </w:rPr>
            <w:t>11</w:t>
          </w:r>
          <w:r>
            <w:rPr>
              <w:rFonts w:ascii="Times New Roman" w:hAnsi="Times New Roman" w:eastAsia="Times New Roman" w:cs="Times New Roman"/>
              <w:spacing w:val="17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spacing w:val="-8"/>
              <w:sz w:val="24"/>
              <w:szCs w:val="24"/>
            </w:rPr>
            <w:t>结论与措施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24"/>
              <w:szCs w:val="24"/>
            </w:rPr>
            <w:t>97</w:t>
          </w:r>
          <w:r>
            <w:rPr>
              <w:rFonts w:ascii="Times New Roman" w:hAnsi="Times New Roman" w:eastAsia="Times New Roman" w:cs="Times New Roman"/>
              <w:spacing w:val="5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19"/>
            </w:tabs>
            <w:spacing w:before="200" w:line="184" w:lineRule="auto"/>
            <w:ind w:left="498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"bookmark41"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  <w:sz w:val="24"/>
              <w:szCs w:val="24"/>
            </w:rPr>
            <w:t xml:space="preserve">11.1 </w:t>
          </w:r>
          <w:r>
            <w:rPr>
              <w:rFonts w:ascii="宋体" w:hAnsi="宋体" w:eastAsia="宋体" w:cs="宋体"/>
              <w:spacing w:val="-5"/>
              <w:sz w:val="24"/>
              <w:szCs w:val="24"/>
            </w:rPr>
            <w:t>监测结论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24"/>
              <w:szCs w:val="24"/>
            </w:rPr>
            <w:t>97</w:t>
          </w:r>
          <w:r>
            <w:rPr>
              <w:rFonts w:ascii="Times New Roman" w:hAnsi="Times New Roman" w:eastAsia="Times New Roman" w:cs="Times New Roman"/>
              <w:spacing w:val="5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8719"/>
            </w:tabs>
            <w:spacing w:before="198" w:line="219" w:lineRule="auto"/>
            <w:ind w:left="498"/>
            <w:rPr>
              <w:rFonts w:ascii="Times New Roman" w:hAnsi="Times New Roman" w:eastAsia="Times New Roman" w:cs="Times New Roman"/>
              <w:sz w:val="24"/>
              <w:szCs w:val="24"/>
            </w:rPr>
          </w:pPr>
          <w:r>
            <w:fldChar w:fldCharType="begin"/>
          </w:r>
          <w:r>
            <w:instrText xml:space="preserve"> HYPERLINK \l "bookmark42"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  <w:sz w:val="24"/>
              <w:szCs w:val="24"/>
            </w:rPr>
            <w:t xml:space="preserve">11.2 </w:t>
          </w:r>
          <w:r>
            <w:rPr>
              <w:rFonts w:ascii="宋体" w:hAnsi="宋体" w:eastAsia="宋体" w:cs="宋体"/>
              <w:spacing w:val="-2"/>
              <w:sz w:val="24"/>
              <w:szCs w:val="24"/>
            </w:rPr>
            <w:t>企业针对监测结果拟采取的主要措施及原因</w:t>
          </w:r>
          <w:r>
            <w:rPr>
              <w:rFonts w:ascii="宋体" w:hAnsi="宋体" w:eastAsia="宋体" w:cs="宋体"/>
              <w:sz w:val="24"/>
              <w:szCs w:val="24"/>
            </w:rPr>
            <w:tab/>
          </w:r>
          <w:r>
            <w:rPr>
              <w:rFonts w:ascii="Times New Roman" w:hAnsi="Times New Roman" w:eastAsia="Times New Roman" w:cs="Times New Roman"/>
              <w:spacing w:val="5"/>
              <w:sz w:val="24"/>
              <w:szCs w:val="24"/>
            </w:rPr>
            <w:t>97</w:t>
          </w:r>
          <w:r>
            <w:rPr>
              <w:rFonts w:ascii="Times New Roman" w:hAnsi="Times New Roman" w:eastAsia="Times New Roman" w:cs="Times New Roman"/>
              <w:spacing w:val="5"/>
              <w:sz w:val="24"/>
              <w:szCs w:val="24"/>
            </w:rPr>
            <w:fldChar w:fldCharType="end"/>
          </w:r>
        </w:p>
      </w:sdtContent>
    </w:sdt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spacing w:before="79" w:line="219" w:lineRule="auto"/>
        <w:ind w:left="1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附件</w:t>
      </w:r>
      <w:r>
        <w:rPr>
          <w:rFonts w:ascii="宋体" w:hAnsi="宋体" w:eastAsia="宋体" w:cs="宋体"/>
          <w:spacing w:val="-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1</w:t>
      </w:r>
      <w:r>
        <w:rPr>
          <w:rFonts w:ascii="宋体" w:hAnsi="宋体" w:eastAsia="宋体" w:cs="宋体"/>
          <w:spacing w:val="-5"/>
          <w:sz w:val="24"/>
          <w:szCs w:val="24"/>
        </w:rPr>
        <w:t>：重点检测单元清单</w:t>
      </w:r>
    </w:p>
    <w:p>
      <w:pPr>
        <w:spacing w:before="42" w:line="219" w:lineRule="auto"/>
        <w:ind w:left="1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附件</w:t>
      </w:r>
      <w:r>
        <w:rPr>
          <w:rFonts w:ascii="宋体" w:hAnsi="宋体" w:eastAsia="宋体" w:cs="宋体"/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2</w:t>
      </w:r>
      <w:r>
        <w:rPr>
          <w:rFonts w:ascii="宋体" w:hAnsi="宋体" w:eastAsia="宋体" w:cs="宋体"/>
          <w:spacing w:val="-4"/>
          <w:sz w:val="24"/>
          <w:szCs w:val="24"/>
        </w:rPr>
        <w:t>：厂区平面图</w:t>
      </w:r>
    </w:p>
    <w:p>
      <w:pPr>
        <w:spacing w:before="42" w:line="219" w:lineRule="auto"/>
        <w:ind w:left="1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附件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3</w:t>
      </w:r>
      <w:r>
        <w:rPr>
          <w:rFonts w:ascii="宋体" w:hAnsi="宋体" w:eastAsia="宋体" w:cs="宋体"/>
          <w:spacing w:val="-5"/>
          <w:sz w:val="24"/>
          <w:szCs w:val="24"/>
        </w:rPr>
        <w:t>：监测点位图</w:t>
      </w:r>
    </w:p>
    <w:p>
      <w:pPr>
        <w:spacing w:before="39" w:line="219" w:lineRule="auto"/>
        <w:ind w:left="1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附件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4</w:t>
      </w:r>
      <w:r>
        <w:rPr>
          <w:rFonts w:ascii="宋体" w:hAnsi="宋体" w:eastAsia="宋体" w:cs="宋体"/>
          <w:spacing w:val="-4"/>
          <w:sz w:val="24"/>
          <w:szCs w:val="24"/>
        </w:rPr>
        <w:t>：土壤原始记录</w:t>
      </w:r>
    </w:p>
    <w:p>
      <w:pPr>
        <w:spacing w:before="42" w:line="219" w:lineRule="auto"/>
        <w:ind w:left="1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附件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5</w:t>
      </w:r>
      <w:r>
        <w:rPr>
          <w:rFonts w:ascii="宋体" w:hAnsi="宋体" w:eastAsia="宋体" w:cs="宋体"/>
          <w:spacing w:val="-4"/>
          <w:sz w:val="24"/>
          <w:szCs w:val="24"/>
        </w:rPr>
        <w:t>：地下水原始记录</w:t>
      </w:r>
    </w:p>
    <w:p>
      <w:pPr>
        <w:spacing w:before="42" w:line="218" w:lineRule="auto"/>
        <w:ind w:left="1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附件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6</w:t>
      </w:r>
      <w:r>
        <w:rPr>
          <w:rFonts w:ascii="宋体" w:hAnsi="宋体" w:eastAsia="宋体" w:cs="宋体"/>
          <w:spacing w:val="-5"/>
          <w:sz w:val="24"/>
          <w:szCs w:val="24"/>
        </w:rPr>
        <w:t>：检测报告</w:t>
      </w:r>
    </w:p>
    <w:p>
      <w:pPr>
        <w:spacing w:line="218" w:lineRule="auto"/>
        <w:rPr>
          <w:rFonts w:ascii="宋体" w:hAnsi="宋体" w:eastAsia="宋体" w:cs="宋体"/>
          <w:sz w:val="24"/>
          <w:szCs w:val="24"/>
        </w:rPr>
        <w:sectPr>
          <w:pgSz w:w="11906" w:h="16839"/>
          <w:pgMar w:top="1431" w:right="1588" w:bottom="0" w:left="1598" w:header="0" w:footer="0" w:gutter="0"/>
          <w:cols w:space="720" w:num="1"/>
        </w:sectPr>
      </w:pPr>
    </w:p>
    <w:p>
      <w:pPr>
        <w:spacing w:line="16807" w:lineRule="exact"/>
      </w:pPr>
    </w:p>
    <w:p>
      <w:pPr>
        <w:spacing w:before="61" w:line="219" w:lineRule="auto"/>
        <w:ind w:left="920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ascii="宋体" w:hAnsi="宋体" w:eastAsia="宋体" w:cs="宋体"/>
          <w:spacing w:val="-10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10"/>
          </w14:textOutline>
        </w:rPr>
        <w:t>附件</w:t>
      </w:r>
      <w:r>
        <w:rPr>
          <w:rFonts w:ascii="宋体" w:hAnsi="宋体" w:eastAsia="宋体" w:cs="宋体"/>
          <w:spacing w:val="1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  <w14:textOutline w14:w="4356" w14:cap="flat" w14:cmpd="sng">
            <w14:solidFill>
              <w14:srgbClr w14:val="000000"/>
            </w14:solidFill>
            <w14:prstDash w14:val="solid"/>
            <w14:miter w14:val="10"/>
          </w14:textOutline>
        </w:rPr>
        <w:t>6：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headerReference r:id="rId5" w:type="default"/>
          <w:footerReference r:id="rId6" w:type="default"/>
          <w:pgSz w:w="11900" w:h="16820"/>
          <w:pgMar w:top="400" w:right="0" w:bottom="400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56" name="IM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 3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headerReference r:id="rId7" w:type="default"/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58" name="IM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 3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60" name="IM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 36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62" name="IM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 3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64" name="IM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 36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66" name="IM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 3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68" name="IM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 36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70" name="IM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 37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72" name="IM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 37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74" name="IM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 37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76" name="IM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 37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78" name="IM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 37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80" name="IM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 38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82" name="IM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 38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84" name="IM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 38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86" name="IM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 38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88" name="IM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 38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90" name="IM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 39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92" name="IM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 39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94" name="IM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 39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96" name="IM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 39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398" name="IM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 39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400" name="IM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 40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402" name="IM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 40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404" name="IM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 40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406" name="IM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 40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408" name="IM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 40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410" name="IM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 41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412" name="IM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 41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414" name="IM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 41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416" name="IM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 41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7" w:lineRule="exact"/>
        <w:sectPr>
          <w:pgSz w:w="11900" w:h="16820"/>
          <w:pgMar w:top="1" w:right="0" w:bottom="1" w:left="0" w:header="0" w:footer="0" w:gutter="0"/>
          <w:cols w:space="720" w:num="1"/>
        </w:sectPr>
      </w:pPr>
    </w:p>
    <w:p>
      <w:pPr>
        <w:spacing w:line="16807" w:lineRule="exact"/>
      </w:pPr>
      <w:r>
        <w:rPr>
          <w:position w:val="-336"/>
        </w:rPr>
        <w:drawing>
          <wp:inline distT="0" distB="0" distL="0" distR="0">
            <wp:extent cx="7556500" cy="10672445"/>
            <wp:effectExtent l="0" t="0" r="0" b="0"/>
            <wp:docPr id="418" name="IM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 41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2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80700"/>
          <wp:effectExtent l="0" t="0" r="0" b="0"/>
          <wp:wrapNone/>
          <wp:docPr id="354" name="IM 3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4" name="IM 3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TljYjNjYjljNDFkMGY0MzVlM2ZhNDBiZWU0MzM2NjMifQ=="/>
  </w:docVars>
  <w:rsids>
    <w:rsidRoot w:val="00000000"/>
    <w:rsid w:val="705A28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autoRedefine/>
    <w:semiHidden/>
    <w:qFormat/>
    <w:uiPriority w:val="0"/>
    <w:rPr>
      <w:rFonts w:ascii="Times New Roman" w:hAnsi="Times New Roman" w:eastAsia="Times New Roman" w:cs="Times New Roman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6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2023-11-17T10:41:00Z</dcterms:created>
  <dc:creator>H</dc:creator>
  <cp:lastModifiedBy>热雪来袭</cp:lastModifiedBy>
  <dcterms:modified xsi:type="dcterms:W3CDTF">2024-02-29T07:02:57Z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2024-02-29T14:54:30Z</vt:filetime>
  </property>
  <property fmtid="{D5CDD505-2E9C-101B-9397-08002B2CF9AE}" pid="4" name="KSOProductBuildVer">
    <vt:lpwstr>2052-12.1.0.16250</vt:lpwstr>
  </property>
  <property fmtid="{D5CDD505-2E9C-101B-9397-08002B2CF9AE}" pid="5" name="ICV">
    <vt:lpwstr>3A59C438A1DB43039C1E661235DC8299_13</vt:lpwstr>
  </property>
</Properties>
</file>